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EMPLOYMENT AND LABOR LAW</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Question One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Primary picketing refers to employees taking action to champion for their rights directly outside the employer you are protesting against. This type of picketing is aimed at convincing employees and other customers to not work or conduct business with the company that is being targeted. Secondary picketing, on the other hand, is taking action outside a different location or business such as a subsidiary or retail outlet</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Cihon,</w:t>
      </w:r>
      <w:r>
        <w:rPr>
          <w:rFonts w:ascii="Times New Roman" w:cs="Times New Roman" w:hAnsi="Times New Roman"/>
          <w:color w:val="222222"/>
          <w:sz w:val="24"/>
          <w:szCs w:val="24"/>
          <w:shd w:val="clear" w:color="auto" w:fill="ffffff"/>
        </w:rPr>
        <w:t xml:space="preserve"> 2008)</w:t>
      </w:r>
      <w:r>
        <w:rPr>
          <w:rFonts w:ascii="Times New Roman" w:cs="Times New Roman" w:hAnsi="Times New Roman"/>
          <w:sz w:val="24"/>
          <w:szCs w:val="24"/>
        </w:rPr>
        <w:t>. This may only be done legally if employees championing for a cause of action feel that these businesses are altering the desired outcome from the protests. An example of secondary picketing is if Wal-Mart outlets could close for strike and Tesco PLC took their stock for preservation purposes, Wal-Mart could picket outside Tesco PLC’s premises.</w:t>
      </w:r>
      <w:r>
        <w:rPr>
          <w:rFonts w:ascii="Times New Roman" w:cs="Times New Roman" w:hAnsi="Times New Roman"/>
          <w:sz w:val="24"/>
          <w:szCs w:val="24"/>
        </w:rPr>
        <w:t xml:space="preserve"> Not all boycott actions by unions targeting employers other than the primary employer are prohibited. The secondary boycott prohibitions were aimed at protecting the rights of neutral employers from the pressure resulting from union boycotts. An employer is not neutral for the reason that it is carrying out the duties and responsibilities to be done by workers of the primary employer who are now boycotting. Local law enforcement handles criminal behavior of picketing.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Question Two</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Rights arbitration is the final step in resolving disputes arising from union strikes. Rights arbitration makes a decision on a dispute through interpreting provisions agreed upon collectively by the disagreeing parties. It applies when there is an allegation by one party that the other party has violated the terms and conditions of an agreement. Interest arbitration is also used to solve a collective agreement instead of parties to engage in strikes and lockout. Some collective agreements may need disputing parties to present their issues to interest arbitration </w:t>
      </w:r>
      <w:r>
        <w:rPr>
          <w:rFonts w:ascii="Times New Roman" w:cs="Times New Roman" w:hAnsi="Times New Roman"/>
          <w:sz w:val="24"/>
          <w:szCs w:val="24"/>
        </w:rPr>
        <w:t xml:space="preserve">rather than resolve to engage in strikes or lockout. Arbitration, generally, is the best method in resolving union disputes.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Arbitration is one of the ways of resolving conflicts where a third neutral party is involved to hear from both disputing parties and decide on the issue presented. Arbitration makes a decision that is binding to all parties</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Cihon,</w:t>
      </w:r>
      <w:r>
        <w:rPr>
          <w:rFonts w:ascii="Times New Roman" w:cs="Times New Roman" w:hAnsi="Times New Roman"/>
          <w:color w:val="222222"/>
          <w:sz w:val="24"/>
          <w:szCs w:val="24"/>
          <w:shd w:val="clear" w:color="auto" w:fill="ffffff"/>
        </w:rPr>
        <w:t xml:space="preserve"> 2008)</w:t>
      </w:r>
      <w:r>
        <w:rPr>
          <w:rFonts w:ascii="Times New Roman" w:cs="Times New Roman" w:hAnsi="Times New Roman"/>
          <w:sz w:val="24"/>
          <w:szCs w:val="24"/>
        </w:rPr>
        <w:t xml:space="preserve">. Both trial and judicial arbitration are used to solve contract disputes between unions and their employees because they are considered less costly and they are more time efficient than formal civil litigation. I have once been involved in a work-related arbitration. There is this time I was looking for a job and then I noticed a forced arbitration agreement in the paperwork that is was to sign. There are arbitration agreements in every company and therefore I had no choice but to sign to keep my job.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Question Three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Taft-Hartley Act placed significant restrictions on the union rights to strike and boycott. For example, union officers were to give a 60-day advance notice before engaging in strikes or boycotts. The Act also prohibited union officers from engaging certain strikes including secondary boycotts, sympathy strikes, and jurisdictional boycotts. There were also restrictions on political contributions and required union officers deny under oath any Communist affiliation.    The Labor Management and Disclosure Act restricted union officers from engaging in election malpractices in union such as altering with results of the election</w:t>
      </w:r>
      <w:r>
        <w:rPr>
          <w:rFonts w:ascii="Times New Roman" w:cs="Times New Roman" w:hAnsi="Times New Roman"/>
          <w:sz w:val="24"/>
          <w:szCs w:val="24"/>
        </w:rPr>
        <w:t xml:space="preserve"> (</w:t>
      </w:r>
      <w:r>
        <w:rPr>
          <w:rFonts w:ascii="Times New Roman" w:cs="Times New Roman" w:hAnsi="Times New Roman"/>
          <w:color w:val="222222"/>
          <w:sz w:val="24"/>
          <w:szCs w:val="24"/>
          <w:shd w:val="clear" w:color="auto" w:fill="ffffff"/>
        </w:rPr>
        <w:t>Cihon,</w:t>
      </w:r>
      <w:r>
        <w:rPr>
          <w:rFonts w:ascii="Times New Roman" w:cs="Times New Roman" w:hAnsi="Times New Roman"/>
          <w:color w:val="222222"/>
          <w:sz w:val="24"/>
          <w:szCs w:val="24"/>
          <w:shd w:val="clear" w:color="auto" w:fill="ffffff"/>
        </w:rPr>
        <w:t xml:space="preserve"> 2008)</w:t>
      </w:r>
      <w:r>
        <w:rPr>
          <w:rFonts w:ascii="Times New Roman" w:cs="Times New Roman" w:hAnsi="Times New Roman"/>
          <w:sz w:val="24"/>
          <w:szCs w:val="24"/>
        </w:rPr>
        <w:t xml:space="preserve">. Salting is a tactic used in unions whereby a union pays an individual to seek for an employment position in a target company and once the job has been secured the union begins to organize its plan. Salting is aimed at gathering information to use it in the union’s organizing campaign. I have heard this </w:t>
      </w:r>
      <w:r>
        <w:rPr>
          <w:rFonts w:ascii="Times New Roman" w:cs="Times New Roman" w:hAnsi="Times New Roman"/>
          <w:sz w:val="24"/>
          <w:szCs w:val="24"/>
        </w:rPr>
        <w:t xml:space="preserve">term used mainly within labor organizations besides also learning about it at home where it means preserving food with salt.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Question Four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Yes. The actions of the Kentucky State Police violated the First Amendment rights aimed at protecting employees in an organization. Firing Houseman and Harmon on the grounds of submitting a letter about the no-bid contract was a violation of the freedom of speech of employees in an organization as envisaged in the First Amendment Act. Employees who work for government entities are protected by the First Amendment provisions at the workplace subject to certain restrictions. This case clearly presents evidence that the two employees were speaking against the employer discriminating them in terms of job allocation.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Reference </w:t>
      </w:r>
    </w:p>
    <w:p>
      <w:pPr>
        <w:pStyle w:val="style0"/>
        <w:spacing w:lineRule="auto" w:line="480"/>
        <w:rPr>
          <w:rFonts w:ascii="Times New Roman" w:cs="Times New Roman" w:hAnsi="Times New Roman"/>
          <w:sz w:val="24"/>
          <w:szCs w:val="24"/>
        </w:rPr>
      </w:pPr>
      <w:r>
        <w:rPr>
          <w:rFonts w:ascii="Times New Roman" w:cs="Times New Roman" w:hAnsi="Times New Roman"/>
          <w:color w:val="222222"/>
          <w:sz w:val="24"/>
          <w:szCs w:val="24"/>
          <w:shd w:val="clear" w:color="auto" w:fill="ffffff"/>
        </w:rPr>
        <w:t>Cihon, P., &amp; Castagnera, J. (2008). </w:t>
      </w:r>
      <w:r>
        <w:rPr>
          <w:rFonts w:ascii="Times New Roman" w:cs="Times New Roman" w:hAnsi="Times New Roman"/>
          <w:i/>
          <w:iCs/>
          <w:color w:val="222222"/>
          <w:sz w:val="24"/>
          <w:szCs w:val="24"/>
          <w:shd w:val="clear" w:color="auto" w:fill="ffffff"/>
        </w:rPr>
        <w:t>Employment and labor law</w:t>
      </w:r>
      <w:r>
        <w:rPr>
          <w:rFonts w:ascii="Times New Roman" w:cs="Times New Roman" w:hAnsi="Times New Roman"/>
          <w:color w:val="222222"/>
          <w:sz w:val="24"/>
          <w:szCs w:val="24"/>
          <w:shd w:val="clear" w:color="auto" w:fill="ffffff"/>
        </w:rPr>
        <w:t>. Cengage Learning.</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EMPLOYMENT AND LABOR LAW</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Running Head: EMPLOYMENT AND LABOR LAW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fdb8d6d3-e6de-4710-a144-9ac4385dc9a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043a00b-2aa1-40ea-8cea-1e08538cfb16"/>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740</Words>
  <Pages>5</Pages>
  <Characters>3959</Characters>
  <Application>WPS Office</Application>
  <DocSecurity>0</DocSecurity>
  <Paragraphs>45</Paragraphs>
  <ScaleCrop>false</ScaleCrop>
  <LinksUpToDate>false</LinksUpToDate>
  <CharactersWithSpaces>4799</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2020-03-31T23:12:50Z</dcterms:created>
  <dc:creator>Windows User</dc:creator>
  <lastModifiedBy>STK-L21</lastModifiedBy>
  <dcterms:modified xsi:type="dcterms:W3CDTF">2020-03-31T23:12:50Z</dcterms:modified>
  <revision>2</revision>
</coreProperties>
</file>

<file path=docProps/custom.xml><?xml version="1.0" encoding="utf-8"?>
<Properties xmlns="http://schemas.openxmlformats.org/officeDocument/2006/custom-properties" xmlns:vt="http://schemas.openxmlformats.org/officeDocument/2006/docPropsVTypes"/>
</file>